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A1" w:rsidRPr="008B7103" w:rsidRDefault="008B7103" w:rsidP="00B21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EA2" w:rsidRPr="008B7103">
        <w:rPr>
          <w:rFonts w:ascii="Times New Roman" w:hAnsi="Times New Roman" w:cs="Times New Roman"/>
          <w:b/>
          <w:sz w:val="24"/>
          <w:szCs w:val="24"/>
        </w:rPr>
        <w:t>Изменения в клиринговые отчеты на фондовом рынке</w:t>
      </w:r>
    </w:p>
    <w:p w:rsidR="00692EA2" w:rsidRPr="00D74BB3" w:rsidRDefault="00692EA2" w:rsidP="00B21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>Выписка из реестра сделок, принятых в клиринг (EQM06)</w:t>
      </w:r>
    </w:p>
    <w:p w:rsidR="00692EA2" w:rsidRPr="008B7103" w:rsidRDefault="00692EA2" w:rsidP="008B7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03">
        <w:rPr>
          <w:rFonts w:ascii="Times New Roman" w:hAnsi="Times New Roman" w:cs="Times New Roman"/>
          <w:sz w:val="24"/>
          <w:szCs w:val="24"/>
        </w:rPr>
        <w:t xml:space="preserve">- меняется порядок заполнения поля </w:t>
      </w:r>
      <w:r w:rsidRPr="008B710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B71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EA2" w:rsidRPr="008B7103" w:rsidRDefault="00692EA2" w:rsidP="008B7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03">
        <w:rPr>
          <w:rFonts w:ascii="Times New Roman" w:hAnsi="Times New Roman" w:cs="Times New Roman"/>
          <w:sz w:val="24"/>
          <w:szCs w:val="24"/>
        </w:rPr>
        <w:t xml:space="preserve">- поле </w:t>
      </w:r>
      <w:r w:rsidRPr="008B710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8B7103">
        <w:rPr>
          <w:rFonts w:ascii="Times New Roman" w:hAnsi="Times New Roman" w:cs="Times New Roman"/>
          <w:sz w:val="24"/>
          <w:szCs w:val="24"/>
        </w:rPr>
        <w:t xml:space="preserve"> заполняется значениями 2, 6, 7, 9 только для Недобросовестного участника клиринга: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395"/>
        <w:gridCol w:w="2097"/>
      </w:tblGrid>
      <w:tr w:rsidR="00692EA2" w:rsidRPr="00DB4A29" w:rsidTr="008B7103">
        <w:trPr>
          <w:trHeight w:val="218"/>
        </w:trPr>
        <w:tc>
          <w:tcPr>
            <w:tcW w:w="3828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Действующее значение</w:t>
            </w:r>
          </w:p>
        </w:tc>
        <w:tc>
          <w:tcPr>
            <w:tcW w:w="4395" w:type="dxa"/>
            <w:shd w:val="clear" w:color="auto" w:fill="auto"/>
          </w:tcPr>
          <w:p w:rsidR="00692EA2" w:rsidRPr="00DB4A29" w:rsidRDefault="00692EA2" w:rsidP="00692EA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Новое значение</w:t>
            </w:r>
          </w:p>
        </w:tc>
        <w:tc>
          <w:tcPr>
            <w:tcW w:w="2097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692EA2" w:rsidRPr="00DB4A29" w:rsidTr="008B7103">
        <w:tc>
          <w:tcPr>
            <w:tcW w:w="3828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сделка РЕПО/ своп в случае неисполнения обязательств Участником Клиринга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сделка РЕПО / две сделки купли-продажи / сделка своп в случае неисполнения обязательств Участником клиринга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1 и 2 объединяются в тип 1 (режимы TADM, NADM, SADM на ФР, режим AETS на ВР)</w:t>
            </w:r>
          </w:p>
        </w:tc>
      </w:tr>
      <w:tr w:rsidR="00692EA2" w:rsidRPr="00DB4A29" w:rsidTr="008B7103">
        <w:trPr>
          <w:trHeight w:val="543"/>
        </w:trPr>
        <w:tc>
          <w:tcPr>
            <w:tcW w:w="3828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сделка купли-продажи в случае неисполнения обязательств Участником Клиринга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EA2" w:rsidRPr="00DB4A29" w:rsidTr="008B7103">
        <w:tc>
          <w:tcPr>
            <w:tcW w:w="3828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закрывающая сделка в отношении Недобросовестного Участника клиринга на основании заявки, поданной НКЦ</w:t>
            </w:r>
          </w:p>
        </w:tc>
        <w:tc>
          <w:tcPr>
            <w:tcW w:w="2097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тип</w:t>
            </w:r>
          </w:p>
        </w:tc>
      </w:tr>
      <w:tr w:rsidR="00692EA2" w:rsidRPr="00DB4A29" w:rsidTr="008B7103">
        <w:tc>
          <w:tcPr>
            <w:tcW w:w="3828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сделка РЕПО в случае неисполнения обязательств Клиринговым центром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сделка РЕПО / две сделки купли-продажи / сделка своп в случае неисполнения обязательств Клиринговым центром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3 и 4 объединяются в тип 3 (режимы TADM, NADM, SADM на ФР, режим AETS на ВР)</w:t>
            </w:r>
          </w:p>
        </w:tc>
      </w:tr>
      <w:tr w:rsidR="00692EA2" w:rsidRPr="00DB4A29" w:rsidTr="008B7103">
        <w:tc>
          <w:tcPr>
            <w:tcW w:w="3828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сделка купли-продажи в случае неисполнения обязательств Клиринговым центром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EA2" w:rsidRPr="00DB4A29" w:rsidTr="008B7103">
        <w:tc>
          <w:tcPr>
            <w:tcW w:w="3828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балансирующая сделка с Добросовестным участником клиринга (без подачи заявки)</w:t>
            </w:r>
          </w:p>
        </w:tc>
        <w:tc>
          <w:tcPr>
            <w:tcW w:w="2097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тип</w:t>
            </w:r>
          </w:p>
        </w:tc>
      </w:tr>
      <w:tr w:rsidR="00692EA2" w:rsidRPr="00DB4A29" w:rsidTr="008B7103">
        <w:tc>
          <w:tcPr>
            <w:tcW w:w="3828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сделка РЕПО Клирингового центра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сделка РЕПО Клирингового центра (донорская сделка РЕПО)</w:t>
            </w:r>
          </w:p>
        </w:tc>
        <w:tc>
          <w:tcPr>
            <w:tcW w:w="2097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Без изменений</w:t>
            </w:r>
          </w:p>
        </w:tc>
      </w:tr>
      <w:tr w:rsidR="00692EA2" w:rsidRPr="00DB4A29" w:rsidTr="008B7103">
        <w:tc>
          <w:tcPr>
            <w:tcW w:w="3828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закрывающая сделка в отношении Недобросовестного Участника клиринга в рамках процедуры кросс-дефолта</w:t>
            </w:r>
          </w:p>
        </w:tc>
        <w:tc>
          <w:tcPr>
            <w:tcW w:w="2097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тип</w:t>
            </w:r>
          </w:p>
        </w:tc>
      </w:tr>
      <w:tr w:rsidR="00692EA2" w:rsidRPr="00DB4A29" w:rsidTr="008B7103">
        <w:tc>
          <w:tcPr>
            <w:tcW w:w="3828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закрывающая сделка в отношении Недобросовестного Участника клиринга в связи с неисполнением Маржинального требования</w:t>
            </w:r>
          </w:p>
        </w:tc>
        <w:tc>
          <w:tcPr>
            <w:tcW w:w="2097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тип</w:t>
            </w:r>
          </w:p>
        </w:tc>
      </w:tr>
      <w:tr w:rsidR="00692EA2" w:rsidRPr="00DB4A29" w:rsidTr="008B7103">
        <w:tc>
          <w:tcPr>
            <w:tcW w:w="3828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закрывающая сделка в отношении Недобросовестного Участника клиринга без подачи заявки</w:t>
            </w:r>
          </w:p>
        </w:tc>
        <w:tc>
          <w:tcPr>
            <w:tcW w:w="2097" w:type="dxa"/>
            <w:shd w:val="clear" w:color="auto" w:fill="auto"/>
          </w:tcPr>
          <w:p w:rsidR="00692EA2" w:rsidRPr="00DB4A29" w:rsidRDefault="00692EA2" w:rsidP="000957E4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29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тип</w:t>
            </w:r>
          </w:p>
        </w:tc>
      </w:tr>
    </w:tbl>
    <w:p w:rsidR="00DC01EC" w:rsidRPr="008B7103" w:rsidRDefault="000A6942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7103">
        <w:rPr>
          <w:rFonts w:ascii="Times New Roman" w:hAnsi="Times New Roman" w:cs="Times New Roman"/>
          <w:sz w:val="24"/>
          <w:szCs w:val="24"/>
        </w:rPr>
        <w:t>- в случае заключения участниками сделок в дополнительную торговую вечернюю сессию, такие сделки</w:t>
      </w:r>
      <w:r w:rsidR="0085704B">
        <w:rPr>
          <w:rFonts w:ascii="Times New Roman" w:hAnsi="Times New Roman" w:cs="Times New Roman"/>
          <w:sz w:val="24"/>
          <w:szCs w:val="24"/>
        </w:rPr>
        <w:t>, заключенные с 19:00 до 23:50,</w:t>
      </w:r>
      <w:r w:rsidRPr="008B7103">
        <w:rPr>
          <w:rFonts w:ascii="Times New Roman" w:hAnsi="Times New Roman" w:cs="Times New Roman"/>
          <w:sz w:val="24"/>
          <w:szCs w:val="24"/>
        </w:rPr>
        <w:t xml:space="preserve"> будут отражаться в дополнительн</w:t>
      </w:r>
      <w:r w:rsidR="008B7103">
        <w:rPr>
          <w:rFonts w:ascii="Times New Roman" w:hAnsi="Times New Roman" w:cs="Times New Roman"/>
          <w:sz w:val="24"/>
          <w:szCs w:val="24"/>
        </w:rPr>
        <w:t>ых</w:t>
      </w:r>
      <w:r w:rsidRPr="008B7103">
        <w:rPr>
          <w:rFonts w:ascii="Times New Roman" w:hAnsi="Times New Roman" w:cs="Times New Roman"/>
          <w:sz w:val="24"/>
          <w:szCs w:val="24"/>
        </w:rPr>
        <w:t xml:space="preserve"> EQM06</w:t>
      </w:r>
      <w:r w:rsidR="004A39A3" w:rsidRPr="008B7103">
        <w:rPr>
          <w:rFonts w:ascii="Times New Roman" w:hAnsi="Times New Roman" w:cs="Times New Roman"/>
          <w:sz w:val="24"/>
          <w:szCs w:val="24"/>
        </w:rPr>
        <w:t xml:space="preserve">/ EQM6D/ EQM6C, </w:t>
      </w:r>
      <w:r w:rsidRPr="008B7103">
        <w:rPr>
          <w:rFonts w:ascii="Times New Roman" w:hAnsi="Times New Roman" w:cs="Times New Roman"/>
          <w:sz w:val="24"/>
          <w:szCs w:val="24"/>
        </w:rPr>
        <w:t>предоставляем</w:t>
      </w:r>
      <w:r w:rsidR="004A39A3" w:rsidRPr="008B7103">
        <w:rPr>
          <w:rFonts w:ascii="Times New Roman" w:hAnsi="Times New Roman" w:cs="Times New Roman"/>
          <w:sz w:val="24"/>
          <w:szCs w:val="24"/>
        </w:rPr>
        <w:t>ых</w:t>
      </w:r>
      <w:r w:rsidRPr="008B7103">
        <w:rPr>
          <w:rFonts w:ascii="Times New Roman" w:hAnsi="Times New Roman" w:cs="Times New Roman"/>
          <w:sz w:val="24"/>
          <w:szCs w:val="24"/>
        </w:rPr>
        <w:t xml:space="preserve"> после 23:50</w:t>
      </w:r>
      <w:r w:rsidR="008B7103">
        <w:rPr>
          <w:rFonts w:ascii="Times New Roman" w:hAnsi="Times New Roman" w:cs="Times New Roman"/>
          <w:sz w:val="24"/>
          <w:szCs w:val="24"/>
        </w:rPr>
        <w:t>;</w:t>
      </w:r>
    </w:p>
    <w:p w:rsidR="00DC01EC" w:rsidRPr="008B7103" w:rsidRDefault="00DC01EC" w:rsidP="008B7103">
      <w:pPr>
        <w:jc w:val="both"/>
        <w:rPr>
          <w:rFonts w:ascii="Times New Roman" w:hAnsi="Times New Roman" w:cs="Times New Roman"/>
          <w:sz w:val="24"/>
          <w:szCs w:val="24"/>
        </w:rPr>
      </w:pPr>
      <w:r w:rsidRPr="008B7103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8B7103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8B7103">
        <w:rPr>
          <w:rFonts w:ascii="Times New Roman" w:hAnsi="Times New Roman" w:cs="Times New Roman"/>
          <w:sz w:val="24"/>
          <w:szCs w:val="24"/>
        </w:rPr>
        <w:t xml:space="preserve"> RECORDS отчетов EQM06/ EQM6C/ EQM6D в рамках проекта Сделки РЕПО с Банком России по плавающим ставкам добавляются поля: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5360"/>
        <w:gridCol w:w="566"/>
        <w:gridCol w:w="850"/>
        <w:gridCol w:w="568"/>
        <w:gridCol w:w="697"/>
      </w:tblGrid>
      <w:tr w:rsidR="00DC01EC" w:rsidTr="00DC01EC">
        <w:trPr>
          <w:trHeight w:val="384"/>
        </w:trPr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RepoRate</w:t>
            </w:r>
            <w:proofErr w:type="spellEnd"/>
          </w:p>
        </w:tc>
        <w:tc>
          <w:tcPr>
            <w:tcW w:w="2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Ставка РЕПО / Величина отклонения от индикативной ставки, в процентах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01EC" w:rsidTr="00DC01EC">
        <w:trPr>
          <w:trHeight w:val="384"/>
        </w:trPr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RateType</w:t>
            </w:r>
            <w:proofErr w:type="spellEnd"/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 w:rsidP="00DC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 xml:space="preserve">Признак сделки РЕПО: «FIX» - сделка РЕПО в режиме «РЕПО с Банком России: </w:t>
            </w:r>
            <w:proofErr w:type="spellStart"/>
            <w:proofErr w:type="gramStart"/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фикс.ставка</w:t>
            </w:r>
            <w:proofErr w:type="spellEnd"/>
            <w:proofErr w:type="gramEnd"/>
            <w:r w:rsidRPr="0085704B">
              <w:rPr>
                <w:rFonts w:ascii="Times New Roman" w:hAnsi="Times New Roman" w:cs="Times New Roman"/>
                <w:sz w:val="20"/>
                <w:szCs w:val="20"/>
              </w:rPr>
              <w:t xml:space="preserve">», «FLOATING» - сделка РЕПО в режиме «Аукцион РЕПО с Банком России: плавающая ставка»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Character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01EC" w:rsidTr="00DC01EC">
        <w:trPr>
          <w:trHeight w:val="384"/>
        </w:trPr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1EC" w:rsidRPr="0085704B" w:rsidRDefault="00DC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Benchmark</w:t>
            </w:r>
            <w:proofErr w:type="spellEnd"/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1EC" w:rsidRPr="0085704B" w:rsidRDefault="00DC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Код индикативной ставки (допустимое значение «RREFKEYR» - ключевая ставка Банка России)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Character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01EC" w:rsidTr="00DC01EC">
        <w:trPr>
          <w:trHeight w:val="384"/>
        </w:trPr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1EC" w:rsidRPr="0085704B" w:rsidRDefault="00DC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Benchmark</w:t>
            </w:r>
            <w:proofErr w:type="spellEnd"/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1EC" w:rsidRPr="0085704B" w:rsidRDefault="00DC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Размер индикативной ставки, в процентах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01EC" w:rsidTr="00DC01EC">
        <w:trPr>
          <w:trHeight w:val="384"/>
        </w:trPr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1EC" w:rsidRPr="0085704B" w:rsidRDefault="00DC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CurRepoRate</w:t>
            </w:r>
            <w:proofErr w:type="spellEnd"/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1EC" w:rsidRPr="0085704B" w:rsidRDefault="00DC01EC" w:rsidP="0085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Текущее значение ставки РЕПО, в процентах (</w:t>
            </w: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RepoRate</w:t>
            </w:r>
            <w:proofErr w:type="spellEnd"/>
            <w:r w:rsidRPr="0085704B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Benchmark</w:t>
            </w:r>
            <w:proofErr w:type="spellEnd"/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</w:t>
            </w: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01EC" w:rsidTr="00DC01EC">
        <w:trPr>
          <w:trHeight w:val="384"/>
        </w:trPr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1EC" w:rsidRPr="0085704B" w:rsidRDefault="00DC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RepoSum</w:t>
            </w:r>
            <w:proofErr w:type="spellEnd"/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1EC" w:rsidRPr="0085704B" w:rsidRDefault="00DC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Сумма по сделке РЕПО, заключенной в режиме «Аукцион РЕПО с Банком России: плавающая ставка», с учетом накопленного процентного дохода, в валюте расчетов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Start"/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1EC" w:rsidRPr="0085704B" w:rsidRDefault="00DC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A6942" w:rsidRPr="00D74BB3" w:rsidRDefault="000A6942" w:rsidP="00B21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3F3" w:rsidRPr="00D74BB3" w:rsidRDefault="00EB13F3" w:rsidP="00EB13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>Выписка из реестра сделок, принятых в клиринг (для номинальных держателей) (EQM6D)</w:t>
      </w:r>
    </w:p>
    <w:p w:rsidR="00EB13F3" w:rsidRPr="00D74BB3" w:rsidRDefault="00EB13F3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>- из отчета для номинальных держателей исключается информация о сделках с финансовыми инструментами, которые не подлежат депозитарному учету, т.е. сделки урегулирования своп.</w:t>
      </w:r>
    </w:p>
    <w:p w:rsidR="00B21C4C" w:rsidRPr="00D74BB3" w:rsidRDefault="00B21C4C" w:rsidP="00EE6E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 xml:space="preserve">Отчет о комиссионных вознаграждениях (EQM15) </w:t>
      </w:r>
    </w:p>
    <w:p w:rsidR="00B21C4C" w:rsidRPr="00D74BB3" w:rsidRDefault="00B21C4C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 RECORDS добавляется поле 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SettleDate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 – «Дата исполнения обязательств по уплате комиссии». Дата в поле «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SettleDate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>» будет совпадать с датой в поле «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ReportDate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», за исключением </w:t>
      </w:r>
      <w:proofErr w:type="spellStart"/>
      <w:r w:rsidR="00D74BB3" w:rsidRPr="00D74BB3">
        <w:rPr>
          <w:rFonts w:ascii="Times New Roman" w:hAnsi="Times New Roman" w:cs="Times New Roman"/>
          <w:sz w:val="24"/>
          <w:szCs w:val="24"/>
        </w:rPr>
        <w:t>FeeType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>=191 (</w:t>
      </w:r>
      <w:r w:rsidR="00D74BB3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D74BB3" w:rsidRPr="00D74BB3">
        <w:rPr>
          <w:rFonts w:ascii="Times New Roman" w:hAnsi="Times New Roman" w:cs="Times New Roman"/>
          <w:sz w:val="24"/>
          <w:szCs w:val="24"/>
        </w:rPr>
        <w:t xml:space="preserve">TRANTYPE=191 </w:t>
      </w:r>
      <w:r w:rsidRPr="00D74BB3">
        <w:rPr>
          <w:rFonts w:ascii="Times New Roman" w:hAnsi="Times New Roman" w:cs="Times New Roman"/>
          <w:sz w:val="24"/>
          <w:szCs w:val="24"/>
        </w:rPr>
        <w:t xml:space="preserve">Штраф за заключение закрывающих сделок). Для </w:t>
      </w:r>
      <w:proofErr w:type="spellStart"/>
      <w:r w:rsidR="00D74BB3" w:rsidRPr="00D74BB3">
        <w:rPr>
          <w:rFonts w:ascii="Times New Roman" w:hAnsi="Times New Roman" w:cs="Times New Roman"/>
          <w:sz w:val="24"/>
          <w:szCs w:val="24"/>
        </w:rPr>
        <w:t>FeeType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=191 поле 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SettleDate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 будет заполняться Расчетным днем, следующим за </w:t>
      </w:r>
      <w:r w:rsidR="00EE6EDE" w:rsidRPr="00D74BB3">
        <w:rPr>
          <w:rFonts w:ascii="Times New Roman" w:hAnsi="Times New Roman" w:cs="Times New Roman"/>
          <w:sz w:val="24"/>
          <w:szCs w:val="24"/>
        </w:rPr>
        <w:t>датой «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ReportDate</w:t>
      </w:r>
      <w:proofErr w:type="spellEnd"/>
      <w:r w:rsidR="00EE6EDE" w:rsidRPr="00D74BB3">
        <w:rPr>
          <w:rFonts w:ascii="Times New Roman" w:hAnsi="Times New Roman" w:cs="Times New Roman"/>
          <w:sz w:val="24"/>
          <w:szCs w:val="24"/>
        </w:rPr>
        <w:t>»</w:t>
      </w:r>
      <w:r w:rsidRPr="00D74BB3">
        <w:rPr>
          <w:rFonts w:ascii="Times New Roman" w:hAnsi="Times New Roman" w:cs="Times New Roman"/>
          <w:sz w:val="24"/>
          <w:szCs w:val="24"/>
        </w:rPr>
        <w:t>.</w:t>
      </w:r>
      <w:r w:rsidR="00EE6EDE" w:rsidRPr="00D74BB3">
        <w:rPr>
          <w:rFonts w:ascii="Times New Roman" w:hAnsi="Times New Roman" w:cs="Times New Roman"/>
          <w:sz w:val="24"/>
          <w:szCs w:val="24"/>
        </w:rPr>
        <w:t xml:space="preserve"> В дату списания </w:t>
      </w:r>
      <w:proofErr w:type="spellStart"/>
      <w:r w:rsidR="00D74BB3" w:rsidRPr="00D74BB3">
        <w:rPr>
          <w:rFonts w:ascii="Times New Roman" w:hAnsi="Times New Roman" w:cs="Times New Roman"/>
          <w:sz w:val="24"/>
          <w:szCs w:val="24"/>
        </w:rPr>
        <w:t>FeeType</w:t>
      </w:r>
      <w:proofErr w:type="spellEnd"/>
      <w:r w:rsidR="00D74BB3" w:rsidRPr="00D74BB3">
        <w:rPr>
          <w:rFonts w:ascii="Times New Roman" w:hAnsi="Times New Roman" w:cs="Times New Roman"/>
          <w:sz w:val="24"/>
          <w:szCs w:val="24"/>
        </w:rPr>
        <w:t xml:space="preserve"> </w:t>
      </w:r>
      <w:r w:rsidR="00EE6EDE" w:rsidRPr="00D74BB3">
        <w:rPr>
          <w:rFonts w:ascii="Times New Roman" w:hAnsi="Times New Roman" w:cs="Times New Roman"/>
          <w:sz w:val="24"/>
          <w:szCs w:val="24"/>
        </w:rPr>
        <w:t xml:space="preserve">=191 не будет повторно включаться в </w:t>
      </w:r>
      <w:r w:rsidR="00EE6EDE" w:rsidRPr="008B7103">
        <w:rPr>
          <w:rFonts w:ascii="Times New Roman" w:hAnsi="Times New Roman" w:cs="Times New Roman"/>
          <w:sz w:val="24"/>
          <w:szCs w:val="24"/>
        </w:rPr>
        <w:t>EQM</w:t>
      </w:r>
      <w:r w:rsidR="00EE6EDE" w:rsidRPr="00D74BB3">
        <w:rPr>
          <w:rFonts w:ascii="Times New Roman" w:hAnsi="Times New Roman" w:cs="Times New Roman"/>
          <w:sz w:val="24"/>
          <w:szCs w:val="24"/>
        </w:rPr>
        <w:t>15</w:t>
      </w:r>
      <w:r w:rsidR="00F437F3" w:rsidRPr="00D74BB3">
        <w:rPr>
          <w:rFonts w:ascii="Times New Roman" w:hAnsi="Times New Roman" w:cs="Times New Roman"/>
          <w:sz w:val="24"/>
          <w:szCs w:val="24"/>
        </w:rPr>
        <w:t>;</w:t>
      </w:r>
    </w:p>
    <w:p w:rsidR="00265923" w:rsidRPr="00D74BB3" w:rsidRDefault="00F437F3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время предоставления </w:t>
      </w:r>
      <w:r w:rsidRPr="008B7103">
        <w:rPr>
          <w:rFonts w:ascii="Times New Roman" w:hAnsi="Times New Roman" w:cs="Times New Roman"/>
          <w:sz w:val="24"/>
          <w:szCs w:val="24"/>
        </w:rPr>
        <w:t>EQM</w:t>
      </w:r>
      <w:r w:rsidRPr="00D74BB3">
        <w:rPr>
          <w:rFonts w:ascii="Times New Roman" w:hAnsi="Times New Roman" w:cs="Times New Roman"/>
          <w:sz w:val="24"/>
          <w:szCs w:val="24"/>
        </w:rPr>
        <w:t>15 переносится с 20:30 на 23:50. (</w:t>
      </w:r>
      <w:r w:rsidR="0024435F" w:rsidRPr="00D74BB3">
        <w:rPr>
          <w:rFonts w:ascii="Times New Roman" w:hAnsi="Times New Roman" w:cs="Times New Roman"/>
          <w:sz w:val="24"/>
          <w:szCs w:val="24"/>
        </w:rPr>
        <w:t xml:space="preserve">В 20:30 сейчас </w:t>
      </w:r>
      <w:r w:rsidR="0024435F" w:rsidRPr="008B7103">
        <w:rPr>
          <w:rFonts w:ascii="Times New Roman" w:hAnsi="Times New Roman" w:cs="Times New Roman"/>
          <w:sz w:val="24"/>
          <w:szCs w:val="24"/>
        </w:rPr>
        <w:t>EQM</w:t>
      </w:r>
      <w:r w:rsidR="0024435F" w:rsidRPr="00D74BB3">
        <w:rPr>
          <w:rFonts w:ascii="Times New Roman" w:hAnsi="Times New Roman" w:cs="Times New Roman"/>
          <w:sz w:val="24"/>
          <w:szCs w:val="24"/>
        </w:rPr>
        <w:t xml:space="preserve">15 отражается комиссия по сделкам, заключенным после 19:00 – сделкам урегулирования НКЦ). </w:t>
      </w:r>
      <w:r w:rsidRPr="00D74BB3">
        <w:rPr>
          <w:rFonts w:ascii="Times New Roman" w:hAnsi="Times New Roman" w:cs="Times New Roman"/>
          <w:sz w:val="24"/>
          <w:szCs w:val="24"/>
        </w:rPr>
        <w:t xml:space="preserve">Время предоставления </w:t>
      </w:r>
      <w:r w:rsidRPr="008B7103">
        <w:rPr>
          <w:rFonts w:ascii="Times New Roman" w:hAnsi="Times New Roman" w:cs="Times New Roman"/>
          <w:sz w:val="24"/>
          <w:szCs w:val="24"/>
        </w:rPr>
        <w:t>EQM</w:t>
      </w:r>
      <w:r w:rsidRPr="00D74BB3">
        <w:rPr>
          <w:rFonts w:ascii="Times New Roman" w:hAnsi="Times New Roman" w:cs="Times New Roman"/>
          <w:sz w:val="24"/>
          <w:szCs w:val="24"/>
        </w:rPr>
        <w:t>15</w:t>
      </w:r>
      <w:r w:rsidR="00B62C0D" w:rsidRPr="00B62C0D">
        <w:rPr>
          <w:rFonts w:ascii="Times New Roman" w:hAnsi="Times New Roman" w:cs="Times New Roman"/>
          <w:sz w:val="24"/>
          <w:szCs w:val="24"/>
        </w:rPr>
        <w:t>_С01</w:t>
      </w:r>
      <w:r w:rsidRPr="00D74BB3">
        <w:rPr>
          <w:rFonts w:ascii="Times New Roman" w:hAnsi="Times New Roman" w:cs="Times New Roman"/>
          <w:sz w:val="24"/>
          <w:szCs w:val="24"/>
        </w:rPr>
        <w:t xml:space="preserve"> в 19:00 по сделкам, заключенным до 19:00, не меняется. В </w:t>
      </w:r>
      <w:r w:rsidRPr="008B7103">
        <w:rPr>
          <w:rFonts w:ascii="Times New Roman" w:hAnsi="Times New Roman" w:cs="Times New Roman"/>
          <w:sz w:val="24"/>
          <w:szCs w:val="24"/>
        </w:rPr>
        <w:t>EQM</w:t>
      </w:r>
      <w:r w:rsidRPr="00D74BB3">
        <w:rPr>
          <w:rFonts w:ascii="Times New Roman" w:hAnsi="Times New Roman" w:cs="Times New Roman"/>
          <w:sz w:val="24"/>
          <w:szCs w:val="24"/>
        </w:rPr>
        <w:t>15</w:t>
      </w:r>
      <w:r w:rsidR="00B62C0D" w:rsidRPr="00B62C0D">
        <w:rPr>
          <w:rFonts w:ascii="Times New Roman" w:hAnsi="Times New Roman" w:cs="Times New Roman"/>
          <w:sz w:val="24"/>
          <w:szCs w:val="24"/>
        </w:rPr>
        <w:t>_С03</w:t>
      </w:r>
      <w:r w:rsidRPr="00D74BB3">
        <w:rPr>
          <w:rFonts w:ascii="Times New Roman" w:hAnsi="Times New Roman" w:cs="Times New Roman"/>
          <w:sz w:val="24"/>
          <w:szCs w:val="24"/>
        </w:rPr>
        <w:t xml:space="preserve"> </w:t>
      </w:r>
      <w:r w:rsidR="00265923" w:rsidRPr="00D74BB3">
        <w:rPr>
          <w:rFonts w:ascii="Times New Roman" w:hAnsi="Times New Roman" w:cs="Times New Roman"/>
          <w:sz w:val="24"/>
          <w:szCs w:val="24"/>
        </w:rPr>
        <w:t xml:space="preserve">в 23:50 будет комиссия по сделкам, заключенным после 19:00 – сделкам участников в дополнительную торговую вечернюю сессию. </w:t>
      </w:r>
    </w:p>
    <w:p w:rsidR="00F437F3" w:rsidRPr="00D74BB3" w:rsidRDefault="00265923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>- Комиссия по сделкам урегулирования НКЦ отменяется с даты релиза.</w:t>
      </w:r>
    </w:p>
    <w:p w:rsidR="00EE6EDE" w:rsidRPr="00D74BB3" w:rsidRDefault="00EE6EDE" w:rsidP="00EE6E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>Отчет о переданных профилях активов на фондовом рынке (EQM49)</w:t>
      </w:r>
    </w:p>
    <w:p w:rsidR="00EE6EDE" w:rsidRPr="00D74BB3" w:rsidRDefault="00EE6EDE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 </w:t>
      </w:r>
      <w:r w:rsidRPr="008B7103">
        <w:rPr>
          <w:rFonts w:ascii="Times New Roman" w:hAnsi="Times New Roman" w:cs="Times New Roman"/>
          <w:sz w:val="24"/>
          <w:szCs w:val="24"/>
        </w:rPr>
        <w:t>TCS</w:t>
      </w:r>
      <w:r w:rsidRPr="00D74BB3">
        <w:rPr>
          <w:rFonts w:ascii="Times New Roman" w:hAnsi="Times New Roman" w:cs="Times New Roman"/>
          <w:sz w:val="24"/>
          <w:szCs w:val="24"/>
        </w:rPr>
        <w:t xml:space="preserve"> добавляется поле </w:t>
      </w:r>
      <w:proofErr w:type="spellStart"/>
      <w:r w:rsidRPr="008B7103">
        <w:rPr>
          <w:rFonts w:ascii="Times New Roman" w:hAnsi="Times New Roman" w:cs="Times New Roman"/>
          <w:sz w:val="24"/>
          <w:szCs w:val="24"/>
        </w:rPr>
        <w:t>Main</w:t>
      </w:r>
      <w:r w:rsidRPr="00D74BB3">
        <w:rPr>
          <w:rFonts w:ascii="Times New Roman" w:hAnsi="Times New Roman" w:cs="Times New Roman"/>
          <w:sz w:val="24"/>
          <w:szCs w:val="24"/>
        </w:rPr>
        <w:t>TrdAccId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, которое для </w:t>
      </w:r>
      <w:r w:rsidRPr="008B7103">
        <w:rPr>
          <w:rFonts w:ascii="Times New Roman" w:hAnsi="Times New Roman" w:cs="Times New Roman"/>
          <w:sz w:val="24"/>
          <w:szCs w:val="24"/>
        </w:rPr>
        <w:t>TCS</w:t>
      </w:r>
      <w:r w:rsidRPr="00D74BB3">
        <w:rPr>
          <w:rFonts w:ascii="Times New Roman" w:hAnsi="Times New Roman" w:cs="Times New Roman"/>
          <w:sz w:val="24"/>
          <w:szCs w:val="24"/>
        </w:rPr>
        <w:t xml:space="preserve"> = </w:t>
      </w:r>
      <w:r w:rsidRPr="008B7103">
        <w:rPr>
          <w:rFonts w:ascii="Times New Roman" w:hAnsi="Times New Roman" w:cs="Times New Roman"/>
          <w:sz w:val="24"/>
          <w:szCs w:val="24"/>
        </w:rPr>
        <w:t>EQ</w:t>
      </w:r>
      <w:r w:rsidRPr="00D74BB3">
        <w:rPr>
          <w:rFonts w:ascii="Times New Roman" w:hAnsi="Times New Roman" w:cs="Times New Roman"/>
          <w:sz w:val="24"/>
          <w:szCs w:val="24"/>
        </w:rPr>
        <w:t xml:space="preserve"> будет отражать динамику профилей ценных бумаг в разрезе Торгово-клиринговых счетов (поле MAINTRDACCID из таблицы TRDACC).</w:t>
      </w:r>
    </w:p>
    <w:p w:rsidR="00EE6EDE" w:rsidRPr="00D74BB3" w:rsidRDefault="00EE6EDE" w:rsidP="00EE6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>Отчет об обязательствах по передаче/ требованиях по получению Дохода (EQM98)</w:t>
      </w:r>
    </w:p>
    <w:p w:rsidR="00EE6EDE" w:rsidRPr="00D74BB3" w:rsidRDefault="00EE6EDE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 </w:t>
      </w:r>
      <w:r w:rsidRPr="008B7103">
        <w:rPr>
          <w:rFonts w:ascii="Times New Roman" w:hAnsi="Times New Roman" w:cs="Times New Roman"/>
          <w:sz w:val="24"/>
          <w:szCs w:val="24"/>
        </w:rPr>
        <w:t>RECORDS</w:t>
      </w:r>
      <w:r w:rsidRPr="00D74BB3">
        <w:rPr>
          <w:rFonts w:ascii="Times New Roman" w:hAnsi="Times New Roman" w:cs="Times New Roman"/>
          <w:sz w:val="24"/>
          <w:szCs w:val="24"/>
        </w:rPr>
        <w:t xml:space="preserve"> добавляется обязательное поле </w:t>
      </w:r>
      <w:bookmarkStart w:id="0" w:name="_Hlk35256935"/>
      <w:proofErr w:type="spellStart"/>
      <w:r w:rsidRPr="00D74BB3">
        <w:rPr>
          <w:rFonts w:ascii="Times New Roman" w:hAnsi="Times New Roman" w:cs="Times New Roman"/>
          <w:sz w:val="24"/>
          <w:szCs w:val="24"/>
        </w:rPr>
        <w:t>Settle</w:t>
      </w:r>
      <w:r w:rsidRPr="008B7103">
        <w:rPr>
          <w:rFonts w:ascii="Times New Roman" w:hAnsi="Times New Roman" w:cs="Times New Roman"/>
          <w:sz w:val="24"/>
          <w:szCs w:val="24"/>
        </w:rPr>
        <w:t>Date</w:t>
      </w:r>
      <w:bookmarkEnd w:id="0"/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 – «Дата исполнения обязательств по передаче Дохода», которое будет заполняться начиная с даты генерации сделок по передачи Дохода и по Дату выплаты включительно. </w:t>
      </w:r>
      <w:r w:rsidR="00EB13F3" w:rsidRPr="00D74BB3">
        <w:rPr>
          <w:rFonts w:ascii="Times New Roman" w:hAnsi="Times New Roman" w:cs="Times New Roman"/>
          <w:sz w:val="24"/>
          <w:szCs w:val="24"/>
        </w:rPr>
        <w:t>(</w:t>
      </w:r>
      <w:r w:rsidRPr="00D74BB3">
        <w:rPr>
          <w:rFonts w:ascii="Times New Roman" w:hAnsi="Times New Roman" w:cs="Times New Roman"/>
          <w:sz w:val="24"/>
          <w:szCs w:val="24"/>
        </w:rPr>
        <w:t xml:space="preserve">Для Расчетного дня по валюте и для рублей 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SettleDate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 – это текущая дата, а для нерасчетного дня по валюте – это ближайшая расчетная в валюте передачи Дохода дата</w:t>
      </w:r>
      <w:r w:rsidR="00EB13F3" w:rsidRPr="00D74BB3">
        <w:rPr>
          <w:rFonts w:ascii="Times New Roman" w:hAnsi="Times New Roman" w:cs="Times New Roman"/>
          <w:sz w:val="24"/>
          <w:szCs w:val="24"/>
        </w:rPr>
        <w:t>)</w:t>
      </w:r>
      <w:r w:rsidRPr="00D74BB3">
        <w:rPr>
          <w:rFonts w:ascii="Times New Roman" w:hAnsi="Times New Roman" w:cs="Times New Roman"/>
          <w:sz w:val="24"/>
          <w:szCs w:val="24"/>
        </w:rPr>
        <w:t>.</w:t>
      </w:r>
    </w:p>
    <w:p w:rsidR="004A39A3" w:rsidRPr="00D74BB3" w:rsidRDefault="004A39A3" w:rsidP="004A39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>Отчет об обязательствах по Сделкам Т+ (EQM23)</w:t>
      </w:r>
    </w:p>
    <w:p w:rsidR="004A39A3" w:rsidRPr="00D74BB3" w:rsidRDefault="004A39A3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время формирования отчета </w:t>
      </w:r>
      <w:r w:rsidRPr="008B7103">
        <w:rPr>
          <w:rFonts w:ascii="Times New Roman" w:hAnsi="Times New Roman" w:cs="Times New Roman"/>
          <w:sz w:val="24"/>
          <w:szCs w:val="24"/>
        </w:rPr>
        <w:t>EQM</w:t>
      </w:r>
      <w:r w:rsidRPr="00D74BB3">
        <w:rPr>
          <w:rFonts w:ascii="Times New Roman" w:hAnsi="Times New Roman" w:cs="Times New Roman"/>
          <w:sz w:val="24"/>
          <w:szCs w:val="24"/>
        </w:rPr>
        <w:t>23 переносится на после 23:50</w:t>
      </w:r>
      <w:r w:rsidR="00B62C0D">
        <w:rPr>
          <w:rFonts w:ascii="Times New Roman" w:hAnsi="Times New Roman" w:cs="Times New Roman"/>
          <w:sz w:val="24"/>
          <w:szCs w:val="24"/>
        </w:rPr>
        <w:t xml:space="preserve"> (</w:t>
      </w:r>
      <w:r w:rsidR="00B62C0D" w:rsidRPr="00B62C0D">
        <w:rPr>
          <w:rFonts w:ascii="Times New Roman" w:hAnsi="Times New Roman" w:cs="Times New Roman"/>
          <w:sz w:val="24"/>
          <w:szCs w:val="24"/>
        </w:rPr>
        <w:t>EQM23_003</w:t>
      </w:r>
      <w:r w:rsidR="00B62C0D">
        <w:rPr>
          <w:rFonts w:ascii="Times New Roman" w:hAnsi="Times New Roman" w:cs="Times New Roman"/>
          <w:sz w:val="24"/>
          <w:szCs w:val="24"/>
        </w:rPr>
        <w:t>)</w:t>
      </w:r>
      <w:r w:rsidRPr="00D74BB3">
        <w:rPr>
          <w:rFonts w:ascii="Times New Roman" w:hAnsi="Times New Roman" w:cs="Times New Roman"/>
          <w:sz w:val="24"/>
          <w:szCs w:val="24"/>
        </w:rPr>
        <w:t xml:space="preserve">. В случае выхода Расчетного кода из торгов в 19:00 отчет </w:t>
      </w:r>
      <w:r w:rsidRPr="008B7103">
        <w:rPr>
          <w:rFonts w:ascii="Times New Roman" w:hAnsi="Times New Roman" w:cs="Times New Roman"/>
          <w:sz w:val="24"/>
          <w:szCs w:val="24"/>
        </w:rPr>
        <w:t>EQM</w:t>
      </w:r>
      <w:r w:rsidRPr="00D74BB3">
        <w:rPr>
          <w:rFonts w:ascii="Times New Roman" w:hAnsi="Times New Roman" w:cs="Times New Roman"/>
          <w:sz w:val="24"/>
          <w:szCs w:val="24"/>
        </w:rPr>
        <w:t>23</w:t>
      </w:r>
      <w:r w:rsidR="00B62C0D" w:rsidRPr="00B62C0D">
        <w:rPr>
          <w:rFonts w:ascii="Times New Roman" w:hAnsi="Times New Roman" w:cs="Times New Roman"/>
          <w:sz w:val="24"/>
          <w:szCs w:val="24"/>
        </w:rPr>
        <w:t>_002</w:t>
      </w:r>
      <w:r w:rsidRPr="00D74BB3">
        <w:rPr>
          <w:rFonts w:ascii="Times New Roman" w:hAnsi="Times New Roman" w:cs="Times New Roman"/>
          <w:sz w:val="24"/>
          <w:szCs w:val="24"/>
        </w:rPr>
        <w:t xml:space="preserve"> </w:t>
      </w:r>
      <w:r w:rsidR="003E2907" w:rsidRPr="00D74BB3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74BB3">
        <w:rPr>
          <w:rFonts w:ascii="Times New Roman" w:hAnsi="Times New Roman" w:cs="Times New Roman"/>
          <w:sz w:val="24"/>
          <w:szCs w:val="24"/>
        </w:rPr>
        <w:t>предоставля</w:t>
      </w:r>
      <w:r w:rsidR="003E2907" w:rsidRPr="00D74BB3">
        <w:rPr>
          <w:rFonts w:ascii="Times New Roman" w:hAnsi="Times New Roman" w:cs="Times New Roman"/>
          <w:sz w:val="24"/>
          <w:szCs w:val="24"/>
        </w:rPr>
        <w:t>ться</w:t>
      </w:r>
      <w:r w:rsidRPr="00D74BB3">
        <w:rPr>
          <w:rFonts w:ascii="Times New Roman" w:hAnsi="Times New Roman" w:cs="Times New Roman"/>
          <w:sz w:val="24"/>
          <w:szCs w:val="24"/>
        </w:rPr>
        <w:t xml:space="preserve"> в соответствии с текущим порядком (~20:30).</w:t>
      </w:r>
    </w:p>
    <w:p w:rsidR="00065CEA" w:rsidRPr="00D74BB3" w:rsidRDefault="00065CEA" w:rsidP="004A39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CEA" w:rsidRPr="00D74BB3" w:rsidRDefault="00065CEA" w:rsidP="00065C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>Отчет об обеспечении (EQM99)</w:t>
      </w:r>
    </w:p>
    <w:p w:rsidR="00065CEA" w:rsidRPr="00D74BB3" w:rsidRDefault="00065CEA" w:rsidP="00B6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>- из отчета исключается информация о денежных средствах, учитываемых на РК 1-го уровня;</w:t>
      </w:r>
    </w:p>
    <w:p w:rsidR="007E448C" w:rsidRPr="004E52B7" w:rsidRDefault="007E448C" w:rsidP="00B62C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2B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74BB3">
        <w:rPr>
          <w:rFonts w:ascii="Times New Roman" w:hAnsi="Times New Roman" w:cs="Times New Roman"/>
          <w:sz w:val="24"/>
          <w:szCs w:val="24"/>
        </w:rPr>
        <w:t>из</w:t>
      </w:r>
      <w:r w:rsidRPr="004E5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B3">
        <w:rPr>
          <w:rFonts w:ascii="Times New Roman" w:hAnsi="Times New Roman" w:cs="Times New Roman"/>
          <w:sz w:val="24"/>
          <w:szCs w:val="24"/>
        </w:rPr>
        <w:t>отчета</w:t>
      </w:r>
      <w:r w:rsidRPr="004E5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B3">
        <w:rPr>
          <w:rFonts w:ascii="Times New Roman" w:hAnsi="Times New Roman" w:cs="Times New Roman"/>
          <w:sz w:val="24"/>
          <w:szCs w:val="24"/>
        </w:rPr>
        <w:t>исключаются</w:t>
      </w:r>
      <w:r w:rsidRPr="004E5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B3">
        <w:rPr>
          <w:rFonts w:ascii="Times New Roman" w:hAnsi="Times New Roman" w:cs="Times New Roman"/>
          <w:sz w:val="24"/>
          <w:szCs w:val="24"/>
        </w:rPr>
        <w:t>поля</w:t>
      </w:r>
      <w:r w:rsidRPr="004E5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4BB3" w:rsidRPr="004E52B7">
        <w:rPr>
          <w:rFonts w:ascii="Times New Roman" w:hAnsi="Times New Roman" w:cs="Times New Roman"/>
          <w:sz w:val="24"/>
          <w:szCs w:val="24"/>
          <w:lang w:val="en-US"/>
        </w:rPr>
        <w:t>ClearingCenterId</w:t>
      </w:r>
      <w:proofErr w:type="spellEnd"/>
      <w:r w:rsidR="00D74BB3" w:rsidRPr="004E5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4BB3" w:rsidRPr="004E52B7">
        <w:rPr>
          <w:rFonts w:ascii="Times New Roman" w:hAnsi="Times New Roman" w:cs="Times New Roman"/>
          <w:sz w:val="24"/>
          <w:szCs w:val="24"/>
          <w:lang w:val="en-US"/>
        </w:rPr>
        <w:t>ClearingCenterName</w:t>
      </w:r>
      <w:proofErr w:type="spellEnd"/>
      <w:r w:rsidR="00D74BB3" w:rsidRPr="004E5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4BB3" w:rsidRPr="004E52B7">
        <w:rPr>
          <w:rFonts w:ascii="Times New Roman" w:hAnsi="Times New Roman" w:cs="Times New Roman"/>
          <w:sz w:val="24"/>
          <w:szCs w:val="24"/>
          <w:lang w:val="en-US"/>
        </w:rPr>
        <w:t>ClosingBalanceTime</w:t>
      </w:r>
      <w:proofErr w:type="spellEnd"/>
      <w:r w:rsidR="00D74BB3" w:rsidRPr="004E52B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5CEA" w:rsidRPr="00D74BB3" w:rsidRDefault="00065CEA" w:rsidP="00B6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время предоставления </w:t>
      </w:r>
      <w:r w:rsidRPr="008B7103">
        <w:rPr>
          <w:rFonts w:ascii="Times New Roman" w:hAnsi="Times New Roman" w:cs="Times New Roman"/>
          <w:sz w:val="24"/>
          <w:szCs w:val="24"/>
        </w:rPr>
        <w:t>EQM</w:t>
      </w:r>
      <w:r w:rsidRPr="00D74BB3">
        <w:rPr>
          <w:rFonts w:ascii="Times New Roman" w:hAnsi="Times New Roman" w:cs="Times New Roman"/>
          <w:sz w:val="24"/>
          <w:szCs w:val="24"/>
        </w:rPr>
        <w:t>99 по РК Единого пула будут возвращается на 20:30 (с текущего 23:50);</w:t>
      </w:r>
    </w:p>
    <w:p w:rsidR="00065CEA" w:rsidRPr="00D74BB3" w:rsidRDefault="00065CEA" w:rsidP="00B6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</w:t>
      </w:r>
      <w:r w:rsidR="002175AB" w:rsidRPr="00D74BB3">
        <w:rPr>
          <w:rFonts w:ascii="Times New Roman" w:hAnsi="Times New Roman" w:cs="Times New Roman"/>
          <w:sz w:val="24"/>
          <w:szCs w:val="24"/>
        </w:rPr>
        <w:t xml:space="preserve">отчет получает номер </w:t>
      </w:r>
      <w:r w:rsidR="002175AB" w:rsidRPr="008B7103">
        <w:rPr>
          <w:rFonts w:ascii="Times New Roman" w:hAnsi="Times New Roman" w:cs="Times New Roman"/>
          <w:sz w:val="24"/>
          <w:szCs w:val="24"/>
        </w:rPr>
        <w:t>EQM</w:t>
      </w:r>
      <w:r w:rsidR="002175AB" w:rsidRPr="00D74BB3">
        <w:rPr>
          <w:rFonts w:ascii="Times New Roman" w:hAnsi="Times New Roman" w:cs="Times New Roman"/>
          <w:sz w:val="24"/>
          <w:szCs w:val="24"/>
        </w:rPr>
        <w:t>99_</w:t>
      </w:r>
      <w:r w:rsidR="002175AB" w:rsidRPr="008B7103">
        <w:rPr>
          <w:rFonts w:ascii="Times New Roman" w:hAnsi="Times New Roman" w:cs="Times New Roman"/>
          <w:sz w:val="24"/>
          <w:szCs w:val="24"/>
        </w:rPr>
        <w:t>C01</w:t>
      </w:r>
      <w:r w:rsidR="002175AB" w:rsidRPr="00D74BB3">
        <w:rPr>
          <w:rFonts w:ascii="Times New Roman" w:hAnsi="Times New Roman" w:cs="Times New Roman"/>
          <w:sz w:val="24"/>
          <w:szCs w:val="24"/>
        </w:rPr>
        <w:t>;</w:t>
      </w:r>
    </w:p>
    <w:p w:rsidR="00065CEA" w:rsidRPr="00D74BB3" w:rsidRDefault="00065CEA" w:rsidP="00B6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после появления РК 2-го/ РК 3-го уровня и ТКС 2-го / ТКС 3-го в рамках разделения статусов УК и УТ, после 23:50 будет предоставляться </w:t>
      </w:r>
      <w:r w:rsidRPr="008B7103">
        <w:rPr>
          <w:rFonts w:ascii="Times New Roman" w:hAnsi="Times New Roman" w:cs="Times New Roman"/>
          <w:sz w:val="24"/>
          <w:szCs w:val="24"/>
        </w:rPr>
        <w:t>EQM</w:t>
      </w:r>
      <w:r w:rsidRPr="00D74BB3">
        <w:rPr>
          <w:rFonts w:ascii="Times New Roman" w:hAnsi="Times New Roman" w:cs="Times New Roman"/>
          <w:sz w:val="24"/>
          <w:szCs w:val="24"/>
        </w:rPr>
        <w:t>99 с информацией о «виртуальном» обеспечении на таких РК/ТКС</w:t>
      </w:r>
      <w:r w:rsidR="002175AB" w:rsidRPr="00D74BB3">
        <w:rPr>
          <w:rFonts w:ascii="Times New Roman" w:hAnsi="Times New Roman" w:cs="Times New Roman"/>
          <w:sz w:val="24"/>
          <w:szCs w:val="24"/>
        </w:rPr>
        <w:t xml:space="preserve"> с номером </w:t>
      </w:r>
      <w:r w:rsidR="002175AB" w:rsidRPr="008B7103">
        <w:rPr>
          <w:rFonts w:ascii="Times New Roman" w:hAnsi="Times New Roman" w:cs="Times New Roman"/>
          <w:sz w:val="24"/>
          <w:szCs w:val="24"/>
        </w:rPr>
        <w:t>EQM</w:t>
      </w:r>
      <w:r w:rsidR="002175AB" w:rsidRPr="00D74BB3">
        <w:rPr>
          <w:rFonts w:ascii="Times New Roman" w:hAnsi="Times New Roman" w:cs="Times New Roman"/>
          <w:sz w:val="24"/>
          <w:szCs w:val="24"/>
        </w:rPr>
        <w:t>99_</w:t>
      </w:r>
      <w:r w:rsidR="002175AB" w:rsidRPr="008B7103">
        <w:rPr>
          <w:rFonts w:ascii="Times New Roman" w:hAnsi="Times New Roman" w:cs="Times New Roman"/>
          <w:sz w:val="24"/>
          <w:szCs w:val="24"/>
        </w:rPr>
        <w:t>C02</w:t>
      </w:r>
      <w:r w:rsidRPr="00D74BB3">
        <w:rPr>
          <w:rFonts w:ascii="Times New Roman" w:hAnsi="Times New Roman" w:cs="Times New Roman"/>
          <w:sz w:val="24"/>
          <w:szCs w:val="24"/>
        </w:rPr>
        <w:t>.</w:t>
      </w:r>
    </w:p>
    <w:p w:rsidR="002175AB" w:rsidRPr="00D74BB3" w:rsidRDefault="002175AB" w:rsidP="00B62C0D">
      <w:pPr>
        <w:pStyle w:val="a3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>Отчета о премии (EQM97)</w:t>
      </w:r>
    </w:p>
    <w:p w:rsidR="00B21C4C" w:rsidRPr="00D74BB3" w:rsidRDefault="002175AB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>- время формирования переносится на 23:50.</w:t>
      </w:r>
    </w:p>
    <w:p w:rsidR="00D74BB3" w:rsidRPr="00D74BB3" w:rsidRDefault="00D74BB3" w:rsidP="00D74B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>Требование о погашении задолженности (EQM22)</w:t>
      </w:r>
    </w:p>
    <w:p w:rsidR="002A48D0" w:rsidRDefault="002A48D0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отменяется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D74BB3">
        <w:rPr>
          <w:rFonts w:ascii="Times New Roman" w:hAnsi="Times New Roman" w:cs="Times New Roman"/>
          <w:sz w:val="24"/>
          <w:szCs w:val="24"/>
        </w:rPr>
        <w:t xml:space="preserve">отчета.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4BB3">
        <w:rPr>
          <w:rFonts w:ascii="Times New Roman" w:hAnsi="Times New Roman" w:cs="Times New Roman"/>
          <w:sz w:val="24"/>
          <w:szCs w:val="24"/>
        </w:rPr>
        <w:t xml:space="preserve">нформация </w:t>
      </w:r>
      <w:r>
        <w:rPr>
          <w:rFonts w:ascii="Times New Roman" w:hAnsi="Times New Roman" w:cs="Times New Roman"/>
          <w:sz w:val="24"/>
          <w:szCs w:val="24"/>
        </w:rPr>
        <w:t xml:space="preserve">о задолженности </w:t>
      </w:r>
      <w:r w:rsidRPr="00D74BB3">
        <w:rPr>
          <w:rFonts w:ascii="Times New Roman" w:hAnsi="Times New Roman" w:cs="Times New Roman"/>
          <w:sz w:val="24"/>
          <w:szCs w:val="24"/>
        </w:rPr>
        <w:t>содержится в Отчете о движении денежных средств ССХ99.</w:t>
      </w:r>
    </w:p>
    <w:p w:rsidR="00383432" w:rsidRPr="00D74BB3" w:rsidRDefault="00383432" w:rsidP="003834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3432">
        <w:rPr>
          <w:rFonts w:ascii="Times New Roman" w:hAnsi="Times New Roman" w:cs="Times New Roman"/>
          <w:b/>
          <w:sz w:val="24"/>
          <w:szCs w:val="24"/>
        </w:rPr>
        <w:t>Уведомление о минимальном размере Обеспечения под стресс (ССХ94)</w:t>
      </w:r>
    </w:p>
    <w:p w:rsidR="00B62C0D" w:rsidRDefault="00383432" w:rsidP="00B6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</w:t>
      </w:r>
      <w:r w:rsidR="000E0267">
        <w:rPr>
          <w:rFonts w:ascii="Times New Roman" w:hAnsi="Times New Roman" w:cs="Times New Roman"/>
          <w:sz w:val="24"/>
          <w:szCs w:val="24"/>
        </w:rPr>
        <w:t>вводится информационный отчет-уведомление о рассчитанном значении Обеспечения под стресс, которое будет действовать с указанной в уведомлении даты.</w:t>
      </w:r>
      <w:r w:rsidR="00B6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03" w:rsidRPr="00046199" w:rsidRDefault="00B62C0D" w:rsidP="000461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62C0D">
        <w:rPr>
          <w:rFonts w:ascii="Times New Roman" w:hAnsi="Times New Roman" w:cs="Times New Roman"/>
          <w:i/>
          <w:sz w:val="24"/>
          <w:szCs w:val="24"/>
        </w:rPr>
        <w:t xml:space="preserve">В настоящее время участникам по ЭДО рассылается информационное сообщение о рассчитанном значении Обеспечения под стресс, оно будет заменено на </w:t>
      </w:r>
      <w:r w:rsidRPr="00B62C0D">
        <w:rPr>
          <w:rFonts w:ascii="Times New Roman" w:hAnsi="Times New Roman" w:cs="Times New Roman"/>
          <w:i/>
          <w:sz w:val="24"/>
          <w:szCs w:val="24"/>
          <w:lang w:val="en-US"/>
        </w:rPr>
        <w:t>xml</w:t>
      </w:r>
      <w:r w:rsidRPr="00B62C0D">
        <w:rPr>
          <w:rFonts w:ascii="Times New Roman" w:hAnsi="Times New Roman" w:cs="Times New Roman"/>
          <w:i/>
          <w:sz w:val="24"/>
          <w:szCs w:val="24"/>
        </w:rPr>
        <w:t>-формат ССХ94, порядок предоставления сохранятся – по вторникам за 5 рабочих дней до даты действия нового значения</w:t>
      </w:r>
      <w:r w:rsidR="00046199" w:rsidRPr="000461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199" w:rsidRPr="00B62C0D">
        <w:rPr>
          <w:rFonts w:ascii="Times New Roman" w:hAnsi="Times New Roman" w:cs="Times New Roman"/>
          <w:i/>
          <w:sz w:val="24"/>
          <w:szCs w:val="24"/>
        </w:rPr>
        <w:t>Обеспечения под стресс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2EA2" w:rsidRPr="008B7103" w:rsidRDefault="008B7103" w:rsidP="00B21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EA2" w:rsidRPr="008B7103">
        <w:rPr>
          <w:rFonts w:ascii="Times New Roman" w:hAnsi="Times New Roman" w:cs="Times New Roman"/>
          <w:b/>
          <w:sz w:val="24"/>
          <w:szCs w:val="24"/>
        </w:rPr>
        <w:t>Изменения в клиринговые отчеты на валютном рынке</w:t>
      </w:r>
    </w:p>
    <w:p w:rsidR="00692EA2" w:rsidRPr="00D74BB3" w:rsidRDefault="00692EA2" w:rsidP="00B21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>Выписка из реестра сделок, принятых в клиринг (EQM43)</w:t>
      </w:r>
    </w:p>
    <w:p w:rsidR="00692EA2" w:rsidRPr="00D74BB3" w:rsidRDefault="00B21C4C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>- в</w:t>
      </w:r>
      <w:r w:rsidR="00692EA2" w:rsidRPr="00D7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EA2" w:rsidRPr="00D74BB3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="00692EA2" w:rsidRPr="00D74BB3">
        <w:rPr>
          <w:rFonts w:ascii="Times New Roman" w:hAnsi="Times New Roman" w:cs="Times New Roman"/>
          <w:sz w:val="24"/>
          <w:szCs w:val="24"/>
        </w:rPr>
        <w:t xml:space="preserve"> RECORDS добавляется поле </w:t>
      </w:r>
      <w:r w:rsidR="00692EA2" w:rsidRPr="008B7103">
        <w:rPr>
          <w:rFonts w:ascii="Times New Roman" w:hAnsi="Times New Roman" w:cs="Times New Roman"/>
          <w:sz w:val="24"/>
          <w:szCs w:val="24"/>
        </w:rPr>
        <w:t>Type</w:t>
      </w:r>
      <w:r w:rsidR="00692EA2" w:rsidRPr="00D74BB3">
        <w:rPr>
          <w:rFonts w:ascii="Times New Roman" w:hAnsi="Times New Roman" w:cs="Times New Roman"/>
          <w:sz w:val="24"/>
          <w:szCs w:val="24"/>
        </w:rPr>
        <w:t>, по аналогии с одноименным отчетом фондового рынка</w:t>
      </w:r>
      <w:r w:rsidRPr="00D74BB3">
        <w:rPr>
          <w:rFonts w:ascii="Times New Roman" w:hAnsi="Times New Roman" w:cs="Times New Roman"/>
          <w:sz w:val="24"/>
          <w:szCs w:val="24"/>
        </w:rPr>
        <w:t xml:space="preserve"> </w:t>
      </w:r>
      <w:r w:rsidRPr="008B7103">
        <w:rPr>
          <w:rFonts w:ascii="Times New Roman" w:hAnsi="Times New Roman" w:cs="Times New Roman"/>
          <w:sz w:val="24"/>
          <w:szCs w:val="24"/>
        </w:rPr>
        <w:t>EQM</w:t>
      </w:r>
      <w:r w:rsidRPr="00D74BB3">
        <w:rPr>
          <w:rFonts w:ascii="Times New Roman" w:hAnsi="Times New Roman" w:cs="Times New Roman"/>
          <w:sz w:val="24"/>
          <w:szCs w:val="24"/>
        </w:rPr>
        <w:t>06</w:t>
      </w:r>
      <w:r w:rsidR="00692EA2" w:rsidRPr="00D74BB3">
        <w:rPr>
          <w:rFonts w:ascii="Times New Roman" w:hAnsi="Times New Roman" w:cs="Times New Roman"/>
          <w:sz w:val="24"/>
          <w:szCs w:val="24"/>
        </w:rPr>
        <w:t>, для отражения типа сделок, заключенных в целях урегулирования неисполнения обязательств</w:t>
      </w:r>
      <w:r w:rsidRPr="00D74BB3">
        <w:rPr>
          <w:rFonts w:ascii="Times New Roman" w:hAnsi="Times New Roman" w:cs="Times New Roman"/>
          <w:sz w:val="24"/>
          <w:szCs w:val="24"/>
        </w:rPr>
        <w:t>. Принимает следующие значения:</w:t>
      </w:r>
    </w:p>
    <w:p w:rsidR="00B21C4C" w:rsidRPr="008B7103" w:rsidRDefault="00B21C4C" w:rsidP="008B7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03">
        <w:rPr>
          <w:rFonts w:ascii="Times New Roman" w:hAnsi="Times New Roman" w:cs="Times New Roman"/>
          <w:sz w:val="24"/>
          <w:szCs w:val="24"/>
        </w:rPr>
        <w:t>1 – сделка своп в случае неисполнения обязательств Участником клиринга;</w:t>
      </w:r>
    </w:p>
    <w:p w:rsidR="00B21C4C" w:rsidRPr="008B7103" w:rsidRDefault="00B21C4C" w:rsidP="008B7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03">
        <w:rPr>
          <w:rFonts w:ascii="Times New Roman" w:hAnsi="Times New Roman" w:cs="Times New Roman"/>
          <w:sz w:val="24"/>
          <w:szCs w:val="24"/>
        </w:rPr>
        <w:t>2–закрывающая сделка в отношении Недобросовестного Участника клиринга на основании заявки, поданной НКЦ;</w:t>
      </w:r>
    </w:p>
    <w:p w:rsidR="00B21C4C" w:rsidRPr="008B7103" w:rsidRDefault="00B21C4C" w:rsidP="008B7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03">
        <w:rPr>
          <w:rFonts w:ascii="Times New Roman" w:hAnsi="Times New Roman" w:cs="Times New Roman"/>
          <w:sz w:val="24"/>
          <w:szCs w:val="24"/>
        </w:rPr>
        <w:t>3 – сделка своп в случае неисполнения обязательств Клиринговым центром;</w:t>
      </w:r>
    </w:p>
    <w:p w:rsidR="00B21C4C" w:rsidRPr="008B7103" w:rsidRDefault="00B21C4C" w:rsidP="008B7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03">
        <w:rPr>
          <w:rFonts w:ascii="Times New Roman" w:hAnsi="Times New Roman" w:cs="Times New Roman"/>
          <w:sz w:val="24"/>
          <w:szCs w:val="24"/>
        </w:rPr>
        <w:t>4 – балансирующая сделка с Добросовестным участником клиринга (без подачи заявки);</w:t>
      </w:r>
    </w:p>
    <w:p w:rsidR="00B21C4C" w:rsidRPr="008B7103" w:rsidRDefault="00B21C4C" w:rsidP="008B7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03">
        <w:rPr>
          <w:rFonts w:ascii="Times New Roman" w:hAnsi="Times New Roman" w:cs="Times New Roman"/>
          <w:sz w:val="24"/>
          <w:szCs w:val="24"/>
        </w:rPr>
        <w:t>6 – закрывающая сделка в отношении Недобросовестного Участника клиринга в рамках процедуры кросс-дефолта;</w:t>
      </w:r>
    </w:p>
    <w:p w:rsidR="00B21C4C" w:rsidRPr="008B7103" w:rsidRDefault="00B21C4C" w:rsidP="008B7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03">
        <w:rPr>
          <w:rFonts w:ascii="Times New Roman" w:hAnsi="Times New Roman" w:cs="Times New Roman"/>
          <w:sz w:val="24"/>
          <w:szCs w:val="24"/>
        </w:rPr>
        <w:t>7 – закрывающая сделка в отношении Недобросовестного Участника клиринга в связи с неисполнением Маржинального требования;</w:t>
      </w:r>
    </w:p>
    <w:p w:rsidR="00EE6EDE" w:rsidRPr="008B7103" w:rsidRDefault="00B21C4C" w:rsidP="008B7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03">
        <w:rPr>
          <w:rFonts w:ascii="Times New Roman" w:hAnsi="Times New Roman" w:cs="Times New Roman"/>
          <w:sz w:val="24"/>
          <w:szCs w:val="24"/>
        </w:rPr>
        <w:t>9 – закрывающая сделка в отношении Недобросовестного Участника клиринга без подачи заявки</w:t>
      </w:r>
    </w:p>
    <w:p w:rsidR="00D74BB3" w:rsidRPr="00D74BB3" w:rsidRDefault="00D74BB3" w:rsidP="00B21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EDE" w:rsidRPr="00D74BB3" w:rsidRDefault="00EE6EDE" w:rsidP="00EE6E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 xml:space="preserve">Отчет о комиссионных вознаграждениях (ССХ10) </w:t>
      </w:r>
    </w:p>
    <w:p w:rsidR="00EE6EDE" w:rsidRPr="00D74BB3" w:rsidRDefault="00EE6EDE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 RECORDS добавляется поле 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SettleDate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 – «Дата исполнения обязательств по уплате комиссии». Дата в поле «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SettleDate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>» будет совпадать с датой в поле «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ReportDate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», за </w:t>
      </w:r>
      <w:r w:rsidRPr="00D74BB3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</w:t>
      </w:r>
      <w:proofErr w:type="spellStart"/>
      <w:r w:rsidR="00D74BB3" w:rsidRPr="00D74BB3">
        <w:rPr>
          <w:rFonts w:ascii="Times New Roman" w:hAnsi="Times New Roman" w:cs="Times New Roman"/>
          <w:sz w:val="24"/>
          <w:szCs w:val="24"/>
        </w:rPr>
        <w:t>CommisType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>=191 (</w:t>
      </w:r>
      <w:r w:rsidR="00D74BB3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D74BB3" w:rsidRPr="00D74BB3">
        <w:rPr>
          <w:rFonts w:ascii="Times New Roman" w:hAnsi="Times New Roman" w:cs="Times New Roman"/>
          <w:sz w:val="24"/>
          <w:szCs w:val="24"/>
        </w:rPr>
        <w:t xml:space="preserve">TRANTYPE=191 </w:t>
      </w:r>
      <w:r w:rsidRPr="00D74BB3">
        <w:rPr>
          <w:rFonts w:ascii="Times New Roman" w:hAnsi="Times New Roman" w:cs="Times New Roman"/>
          <w:sz w:val="24"/>
          <w:szCs w:val="24"/>
        </w:rPr>
        <w:t xml:space="preserve">Штраф за заключение закрывающих сделок). Для TRANTYPE=191 поле 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SettleDate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 будет заполняться Расчетным днем, следующим за датой «</w:t>
      </w:r>
      <w:proofErr w:type="spellStart"/>
      <w:r w:rsidRPr="00D74BB3">
        <w:rPr>
          <w:rFonts w:ascii="Times New Roman" w:hAnsi="Times New Roman" w:cs="Times New Roman"/>
          <w:sz w:val="24"/>
          <w:szCs w:val="24"/>
        </w:rPr>
        <w:t>ReportDate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 xml:space="preserve">». В дату списания </w:t>
      </w:r>
      <w:proofErr w:type="spellStart"/>
      <w:r w:rsidR="00D74BB3" w:rsidRPr="00D74BB3">
        <w:rPr>
          <w:rFonts w:ascii="Times New Roman" w:hAnsi="Times New Roman" w:cs="Times New Roman"/>
          <w:sz w:val="24"/>
          <w:szCs w:val="24"/>
        </w:rPr>
        <w:t>CommisType</w:t>
      </w:r>
      <w:proofErr w:type="spellEnd"/>
      <w:r w:rsidRPr="00D74BB3">
        <w:rPr>
          <w:rFonts w:ascii="Times New Roman" w:hAnsi="Times New Roman" w:cs="Times New Roman"/>
          <w:sz w:val="24"/>
          <w:szCs w:val="24"/>
        </w:rPr>
        <w:t>=191 не будет повторно включаться в ССХ10.</w:t>
      </w:r>
    </w:p>
    <w:p w:rsidR="00D74BB3" w:rsidRPr="00D74BB3" w:rsidRDefault="00D74BB3" w:rsidP="00D74B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4BB3">
        <w:rPr>
          <w:rFonts w:ascii="Times New Roman" w:hAnsi="Times New Roman" w:cs="Times New Roman"/>
          <w:b/>
          <w:sz w:val="24"/>
          <w:szCs w:val="24"/>
        </w:rPr>
        <w:t>Требование о погашении задолженности (EQM22)</w:t>
      </w:r>
    </w:p>
    <w:p w:rsidR="00D74BB3" w:rsidRPr="00D74BB3" w:rsidRDefault="00D74BB3" w:rsidP="008B710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отменяется предоставление </w:t>
      </w:r>
      <w:r w:rsidR="002A48D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D74BB3">
        <w:rPr>
          <w:rFonts w:ascii="Times New Roman" w:hAnsi="Times New Roman" w:cs="Times New Roman"/>
          <w:sz w:val="24"/>
          <w:szCs w:val="24"/>
        </w:rPr>
        <w:t xml:space="preserve">отчета. </w:t>
      </w:r>
      <w:r w:rsidR="002A48D0">
        <w:rPr>
          <w:rFonts w:ascii="Times New Roman" w:hAnsi="Times New Roman" w:cs="Times New Roman"/>
          <w:sz w:val="24"/>
          <w:szCs w:val="24"/>
        </w:rPr>
        <w:t>И</w:t>
      </w:r>
      <w:r w:rsidRPr="00D74BB3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2A48D0">
        <w:rPr>
          <w:rFonts w:ascii="Times New Roman" w:hAnsi="Times New Roman" w:cs="Times New Roman"/>
          <w:sz w:val="24"/>
          <w:szCs w:val="24"/>
        </w:rPr>
        <w:t xml:space="preserve">о задолженности </w:t>
      </w:r>
      <w:r w:rsidRPr="00D74BB3">
        <w:rPr>
          <w:rFonts w:ascii="Times New Roman" w:hAnsi="Times New Roman" w:cs="Times New Roman"/>
          <w:sz w:val="24"/>
          <w:szCs w:val="24"/>
        </w:rPr>
        <w:t>содержится в Отчете о движении денежных средств ССХ99.</w:t>
      </w:r>
    </w:p>
    <w:p w:rsidR="004E52B7" w:rsidRDefault="004E52B7" w:rsidP="004E52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52B7" w:rsidRPr="008B7103" w:rsidRDefault="004E52B7" w:rsidP="004E5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7103">
        <w:rPr>
          <w:rFonts w:ascii="Times New Roman" w:hAnsi="Times New Roman" w:cs="Times New Roman"/>
          <w:b/>
          <w:sz w:val="24"/>
          <w:szCs w:val="24"/>
        </w:rPr>
        <w:t xml:space="preserve"> Изменения в клиринговые отчеты на </w:t>
      </w:r>
      <w:r>
        <w:rPr>
          <w:rFonts w:ascii="Times New Roman" w:hAnsi="Times New Roman" w:cs="Times New Roman"/>
          <w:b/>
          <w:sz w:val="24"/>
          <w:szCs w:val="24"/>
        </w:rPr>
        <w:t>всех рынках</w:t>
      </w:r>
    </w:p>
    <w:p w:rsidR="004E52B7" w:rsidRDefault="004E52B7" w:rsidP="004E52B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E52B7">
        <w:rPr>
          <w:rFonts w:ascii="Times New Roman" w:hAnsi="Times New Roman" w:cs="Times New Roman"/>
          <w:b/>
          <w:sz w:val="24"/>
          <w:szCs w:val="24"/>
        </w:rPr>
        <w:t>Отчет о движении денежных средств ССХ99</w:t>
      </w:r>
    </w:p>
    <w:p w:rsidR="004E52B7" w:rsidRPr="00D74BB3" w:rsidRDefault="004E52B7" w:rsidP="004E52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4B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E52B7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4E52B7">
        <w:rPr>
          <w:rFonts w:ascii="Times New Roman" w:hAnsi="Times New Roman" w:cs="Times New Roman"/>
          <w:sz w:val="24"/>
          <w:szCs w:val="24"/>
        </w:rPr>
        <w:t xml:space="preserve"> ENTRY добавляется необязательное поле </w:t>
      </w:r>
      <w:proofErr w:type="spellStart"/>
      <w:r w:rsidRPr="004E52B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E52B7">
        <w:rPr>
          <w:rFonts w:ascii="Times New Roman" w:hAnsi="Times New Roman" w:cs="Times New Roman"/>
          <w:sz w:val="24"/>
          <w:szCs w:val="24"/>
        </w:rPr>
        <w:t xml:space="preserve"> – время операции, которое заполняется временем исполнения операции по списанию и/или зачислению денежных средств по счетам НКЦ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692EA2" w:rsidRPr="004E52B7" w:rsidRDefault="00692EA2" w:rsidP="004E52B7"/>
    <w:sectPr w:rsidR="00692EA2" w:rsidRPr="004E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E6F"/>
    <w:multiLevelType w:val="hybridMultilevel"/>
    <w:tmpl w:val="58B6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7801"/>
    <w:multiLevelType w:val="multilevel"/>
    <w:tmpl w:val="2FA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C053A"/>
    <w:multiLevelType w:val="multilevel"/>
    <w:tmpl w:val="DB6C7930"/>
    <w:lvl w:ilvl="0">
      <w:start w:val="1"/>
      <w:numFmt w:val="decimal"/>
      <w:pStyle w:val="1"/>
      <w:suff w:val="nothing"/>
      <w:lvlText w:val="Приложение № %1"/>
      <w:lvlJc w:val="left"/>
      <w:pPr>
        <w:ind w:left="0" w:firstLine="58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4">
      <w:start w:val="1"/>
      <w:numFmt w:val="decimal"/>
      <w:pStyle w:val="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CA61CB7"/>
    <w:multiLevelType w:val="hybridMultilevel"/>
    <w:tmpl w:val="653E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3470C"/>
    <w:multiLevelType w:val="hybridMultilevel"/>
    <w:tmpl w:val="653E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4647"/>
    <w:multiLevelType w:val="hybridMultilevel"/>
    <w:tmpl w:val="251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C18BE"/>
    <w:multiLevelType w:val="hybridMultilevel"/>
    <w:tmpl w:val="D7603046"/>
    <w:lvl w:ilvl="0" w:tplc="6DDC1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2"/>
    <w:rsid w:val="00046199"/>
    <w:rsid w:val="00065CEA"/>
    <w:rsid w:val="000A6942"/>
    <w:rsid w:val="000E0267"/>
    <w:rsid w:val="00200379"/>
    <w:rsid w:val="002175AB"/>
    <w:rsid w:val="0024435F"/>
    <w:rsid w:val="00265923"/>
    <w:rsid w:val="002A48D0"/>
    <w:rsid w:val="00383432"/>
    <w:rsid w:val="003E2907"/>
    <w:rsid w:val="004A39A3"/>
    <w:rsid w:val="004E52B7"/>
    <w:rsid w:val="005939A1"/>
    <w:rsid w:val="00692EA2"/>
    <w:rsid w:val="006C35C4"/>
    <w:rsid w:val="007E448C"/>
    <w:rsid w:val="0085704B"/>
    <w:rsid w:val="008B7103"/>
    <w:rsid w:val="00B21C4C"/>
    <w:rsid w:val="00B62C0D"/>
    <w:rsid w:val="00D74BB3"/>
    <w:rsid w:val="00DB4A29"/>
    <w:rsid w:val="00DC01EC"/>
    <w:rsid w:val="00EB13F3"/>
    <w:rsid w:val="00EE6EDE"/>
    <w:rsid w:val="00F4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EC7F"/>
  <w15:chartTrackingRefBased/>
  <w15:docId w15:val="{98CB7E62-9D6A-48F0-AF7A-B8C3747A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C4C"/>
    <w:pPr>
      <w:numPr>
        <w:numId w:val="3"/>
      </w:numPr>
      <w:tabs>
        <w:tab w:val="right" w:pos="9356"/>
      </w:tabs>
      <w:autoSpaceDE w:val="0"/>
      <w:autoSpaceDN w:val="0"/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noProof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21C4C"/>
    <w:pPr>
      <w:keepNext/>
      <w:numPr>
        <w:ilvl w:val="1"/>
        <w:numId w:val="3"/>
      </w:numPr>
      <w:tabs>
        <w:tab w:val="right" w:pos="9356"/>
      </w:tabs>
      <w:autoSpaceDE w:val="0"/>
      <w:autoSpaceDN w:val="0"/>
      <w:spacing w:before="240" w:after="0" w:line="240" w:lineRule="auto"/>
      <w:jc w:val="both"/>
      <w:outlineLvl w:val="1"/>
    </w:pPr>
    <w:rPr>
      <w:rFonts w:ascii="Times New Roman" w:eastAsia="MS Mincho" w:hAnsi="Times New Roman" w:cs="Times New Roman"/>
      <w:b/>
      <w:bCs/>
      <w:iCs/>
      <w:noProof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1C4C"/>
    <w:pPr>
      <w:numPr>
        <w:ilvl w:val="2"/>
        <w:numId w:val="3"/>
      </w:numPr>
      <w:tabs>
        <w:tab w:val="right" w:pos="9356"/>
      </w:tabs>
      <w:autoSpaceDE w:val="0"/>
      <w:autoSpaceDN w:val="0"/>
      <w:spacing w:before="120" w:after="0" w:line="240" w:lineRule="auto"/>
      <w:jc w:val="both"/>
      <w:outlineLvl w:val="2"/>
    </w:pPr>
    <w:rPr>
      <w:rFonts w:ascii="Times New Roman" w:eastAsia="MS Mincho" w:hAnsi="Times New Roman" w:cs="Times New Roman"/>
      <w:noProof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B21C4C"/>
    <w:pPr>
      <w:numPr>
        <w:ilvl w:val="3"/>
        <w:numId w:val="3"/>
      </w:numPr>
      <w:tabs>
        <w:tab w:val="right" w:pos="9356"/>
      </w:tabs>
      <w:autoSpaceDE w:val="0"/>
      <w:autoSpaceDN w:val="0"/>
      <w:spacing w:before="60" w:after="0" w:line="240" w:lineRule="auto"/>
      <w:jc w:val="both"/>
      <w:outlineLvl w:val="3"/>
    </w:pPr>
    <w:rPr>
      <w:rFonts w:ascii="Times New Roman" w:eastAsia="MS Mincho" w:hAnsi="Times New Roman" w:cs="Times New Roman"/>
      <w:bCs/>
      <w:noProof/>
      <w:sz w:val="24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21C4C"/>
    <w:pPr>
      <w:numPr>
        <w:ilvl w:val="4"/>
        <w:numId w:val="3"/>
      </w:numPr>
      <w:tabs>
        <w:tab w:val="right" w:pos="9356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MS Mincho" w:hAnsi="Times New Roman" w:cs="Times New Roman"/>
      <w:noProof/>
      <w:sz w:val="24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21C4C"/>
    <w:pPr>
      <w:numPr>
        <w:ilvl w:val="5"/>
        <w:numId w:val="3"/>
      </w:numPr>
      <w:tabs>
        <w:tab w:val="right" w:pos="9356"/>
      </w:tabs>
      <w:autoSpaceDE w:val="0"/>
      <w:autoSpaceDN w:val="0"/>
      <w:spacing w:after="60" w:line="240" w:lineRule="auto"/>
      <w:jc w:val="both"/>
      <w:outlineLvl w:val="5"/>
    </w:pPr>
    <w:rPr>
      <w:rFonts w:ascii="Times New Roman" w:eastAsia="MS Mincho" w:hAnsi="Times New Roman" w:cs="Times New Roman"/>
      <w:b/>
      <w:bCs/>
      <w:noProof/>
      <w:lang w:val="x-none" w:eastAsia="x-none"/>
    </w:rPr>
  </w:style>
  <w:style w:type="paragraph" w:styleId="7">
    <w:name w:val="heading 7"/>
    <w:basedOn w:val="a"/>
    <w:next w:val="a"/>
    <w:link w:val="70"/>
    <w:qFormat/>
    <w:rsid w:val="00B21C4C"/>
    <w:pPr>
      <w:numPr>
        <w:ilvl w:val="6"/>
        <w:numId w:val="3"/>
      </w:numPr>
      <w:tabs>
        <w:tab w:val="right" w:pos="9356"/>
      </w:tabs>
      <w:autoSpaceDE w:val="0"/>
      <w:autoSpaceDN w:val="0"/>
      <w:spacing w:after="60" w:line="240" w:lineRule="auto"/>
      <w:jc w:val="both"/>
      <w:outlineLvl w:val="6"/>
    </w:pPr>
    <w:rPr>
      <w:rFonts w:ascii="Times New Roman" w:eastAsia="MS Mincho" w:hAnsi="Times New Roman" w:cs="Times New Roman"/>
      <w:noProof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B21C4C"/>
    <w:pPr>
      <w:numPr>
        <w:ilvl w:val="7"/>
        <w:numId w:val="3"/>
      </w:numPr>
      <w:tabs>
        <w:tab w:val="right" w:pos="9356"/>
      </w:tabs>
      <w:autoSpaceDE w:val="0"/>
      <w:autoSpaceDN w:val="0"/>
      <w:spacing w:after="60" w:line="240" w:lineRule="auto"/>
      <w:jc w:val="both"/>
      <w:outlineLvl w:val="7"/>
    </w:pPr>
    <w:rPr>
      <w:rFonts w:ascii="Times New Roman" w:eastAsia="MS Mincho" w:hAnsi="Times New Roman" w:cs="Times New Roman"/>
      <w:iCs/>
      <w:noProof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B21C4C"/>
    <w:pPr>
      <w:numPr>
        <w:ilvl w:val="8"/>
        <w:numId w:val="3"/>
      </w:numPr>
      <w:tabs>
        <w:tab w:val="right" w:pos="9356"/>
      </w:tabs>
      <w:autoSpaceDE w:val="0"/>
      <w:autoSpaceDN w:val="0"/>
      <w:spacing w:after="60" w:line="240" w:lineRule="auto"/>
      <w:jc w:val="both"/>
      <w:outlineLvl w:val="8"/>
    </w:pPr>
    <w:rPr>
      <w:rFonts w:ascii="Times New Roman" w:eastAsia="MS Mincho" w:hAnsi="Times New Roman" w:cs="Times New Roman"/>
      <w:noProof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E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C4C"/>
    <w:rPr>
      <w:rFonts w:ascii="Times New Roman" w:eastAsia="MS Mincho" w:hAnsi="Times New Roman" w:cs="Times New Roman"/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21C4C"/>
    <w:rPr>
      <w:rFonts w:ascii="Times New Roman" w:eastAsia="MS Mincho" w:hAnsi="Times New Roman" w:cs="Times New Roman"/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21C4C"/>
    <w:rPr>
      <w:rFonts w:ascii="Times New Roman" w:eastAsia="MS Mincho" w:hAnsi="Times New Roman" w:cs="Times New Roman"/>
      <w:noProof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B21C4C"/>
    <w:rPr>
      <w:rFonts w:ascii="Times New Roman" w:eastAsia="MS Mincho" w:hAnsi="Times New Roman" w:cs="Times New Roman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21C4C"/>
    <w:rPr>
      <w:rFonts w:ascii="Times New Roman" w:eastAsia="MS Mincho" w:hAnsi="Times New Roman" w:cs="Times New Roman"/>
      <w:noProof/>
      <w:sz w:val="24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21C4C"/>
    <w:rPr>
      <w:rFonts w:ascii="Times New Roman" w:eastAsia="MS Mincho" w:hAnsi="Times New Roman" w:cs="Times New Roman"/>
      <w:b/>
      <w:bCs/>
      <w:noProof/>
      <w:lang w:val="x-none" w:eastAsia="x-none"/>
    </w:rPr>
  </w:style>
  <w:style w:type="character" w:customStyle="1" w:styleId="70">
    <w:name w:val="Заголовок 7 Знак"/>
    <w:basedOn w:val="a0"/>
    <w:link w:val="7"/>
    <w:rsid w:val="00B21C4C"/>
    <w:rPr>
      <w:rFonts w:ascii="Times New Roman" w:eastAsia="MS Mincho" w:hAnsi="Times New Roman" w:cs="Times New Roman"/>
      <w:noProof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21C4C"/>
    <w:rPr>
      <w:rFonts w:ascii="Times New Roman" w:eastAsia="MS Mincho" w:hAnsi="Times New Roman" w:cs="Times New Roman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21C4C"/>
    <w:rPr>
      <w:rFonts w:ascii="Times New Roman" w:eastAsia="MS Mincho" w:hAnsi="Times New Roman" w:cs="Times New Roman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13</cp:revision>
  <dcterms:created xsi:type="dcterms:W3CDTF">2020-05-22T07:43:00Z</dcterms:created>
  <dcterms:modified xsi:type="dcterms:W3CDTF">2020-06-02T16:58:00Z</dcterms:modified>
</cp:coreProperties>
</file>